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422B5B" w:rsidRDefault="00F92268" w:rsidP="00850792">
      <w:pPr>
        <w:pStyle w:val="BodyText"/>
        <w:rPr>
          <w:sz w:val="6"/>
          <w:szCs w:val="6"/>
        </w:rPr>
      </w:pPr>
      <w:r w:rsidRPr="00422B5B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422B5B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422B5B" w:rsidRDefault="00F92268" w:rsidP="000025F0">
            <w:pPr>
              <w:pStyle w:val="Header"/>
              <w:rPr>
                <w:rFonts w:cs="Arial"/>
                <w:sz w:val="16"/>
                <w:szCs w:val="16"/>
              </w:rPr>
            </w:pPr>
            <w:r w:rsidRPr="00422B5B">
              <w:rPr>
                <w:rFonts w:cs="Arial"/>
                <w:sz w:val="16"/>
                <w:szCs w:val="16"/>
              </w:rPr>
              <w:t>Reference number(s)</w:t>
            </w:r>
          </w:p>
        </w:tc>
      </w:tr>
      <w:tr w:rsidR="00F92268" w:rsidRPr="00422B5B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3984F24B" w:rsidR="00F92268" w:rsidRPr="00422B5B" w:rsidRDefault="00655560" w:rsidP="00FC4376">
            <w:pPr>
              <w:pStyle w:val="BodyText"/>
              <w:rPr>
                <w:color w:val="000000" w:themeColor="text1"/>
                <w:sz w:val="16"/>
                <w:szCs w:val="16"/>
              </w:rPr>
            </w:pPr>
            <w:r w:rsidRPr="00422B5B">
              <w:rPr>
                <w:color w:val="000000" w:themeColor="text1"/>
                <w:sz w:val="16"/>
                <w:szCs w:val="16"/>
              </w:rPr>
              <w:t>3161-A</w:t>
            </w:r>
          </w:p>
        </w:tc>
      </w:tr>
    </w:tbl>
    <w:p w14:paraId="3F4DE49F" w14:textId="37F65420" w:rsidR="004B15BB" w:rsidRPr="00422B5B" w:rsidRDefault="00655560" w:rsidP="007E5C16">
      <w:pPr>
        <w:pStyle w:val="Heading1"/>
      </w:pPr>
      <w:r w:rsidRPr="00422B5B">
        <w:t>Specialty Guideline Management</w:t>
      </w:r>
      <w:r w:rsidR="008C54D9" w:rsidRPr="00422B5B">
        <w:br/>
      </w:r>
      <w:proofErr w:type="spellStart"/>
      <w:r w:rsidRPr="00422B5B">
        <w:t>Inrebic</w:t>
      </w:r>
      <w:proofErr w:type="spellEnd"/>
    </w:p>
    <w:p w14:paraId="78861C92" w14:textId="186793BA" w:rsidR="00203468" w:rsidRPr="00422B5B" w:rsidRDefault="00C64534" w:rsidP="008E0F0D">
      <w:pPr>
        <w:pStyle w:val="Heading2"/>
      </w:pPr>
      <w:r w:rsidRPr="00422B5B">
        <w:t xml:space="preserve">Products Referenced by this </w:t>
      </w:r>
      <w:r w:rsidR="00501602" w:rsidRPr="00422B5B">
        <w:t>Document</w:t>
      </w:r>
    </w:p>
    <w:p w14:paraId="5455152B" w14:textId="3120659D" w:rsidR="008E0F0D" w:rsidRPr="00422B5B" w:rsidRDefault="00D82D85" w:rsidP="008B73E8">
      <w:pPr>
        <w:pStyle w:val="BodyText"/>
      </w:pPr>
      <w:r w:rsidRPr="00422B5B">
        <w:t xml:space="preserve">Drugs that are listed in the </w:t>
      </w:r>
      <w:r w:rsidR="000315F1" w:rsidRPr="00422B5B">
        <w:t>following table</w:t>
      </w:r>
      <w:r w:rsidRPr="00422B5B">
        <w:t xml:space="preserve"> include both brand and generic and all dosage forms and strengths unless otherwise stated. </w:t>
      </w:r>
      <w:r w:rsidR="0071011D">
        <w:t>Over</w:t>
      </w:r>
      <w:r w:rsidR="00BC4364">
        <w:t>-</w:t>
      </w:r>
      <w:r w:rsidR="0071011D">
        <w:t>the</w:t>
      </w:r>
      <w:r w:rsidR="00BC4364">
        <w:t>-</w:t>
      </w:r>
      <w:r w:rsidR="0071011D">
        <w:t>counter (</w:t>
      </w:r>
      <w:r w:rsidRPr="00422B5B">
        <w:t>OTC</w:t>
      </w:r>
      <w:r w:rsidR="0071011D">
        <w:t>)</w:t>
      </w:r>
      <w:r w:rsidRPr="00422B5B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422B5B" w14:paraId="158421F8" w14:textId="77777777" w:rsidTr="00525686">
        <w:trPr>
          <w:cantSplit/>
          <w:trHeight w:val="288"/>
          <w:tblHeader/>
        </w:trPr>
        <w:tc>
          <w:tcPr>
            <w:tcW w:w="5265" w:type="dxa"/>
          </w:tcPr>
          <w:p w14:paraId="2A27354A" w14:textId="1390179E" w:rsidR="00252CE1" w:rsidRPr="00422B5B" w:rsidRDefault="00252CE1" w:rsidP="00AA1E6A">
            <w:pPr>
              <w:pStyle w:val="TableHeader"/>
            </w:pPr>
            <w:bookmarkStart w:id="0" w:name="_Hlk159603270"/>
            <w:r w:rsidRPr="00422B5B">
              <w:t>Brand Name</w:t>
            </w:r>
          </w:p>
        </w:tc>
        <w:tc>
          <w:tcPr>
            <w:tcW w:w="5595" w:type="dxa"/>
          </w:tcPr>
          <w:p w14:paraId="3D342BE1" w14:textId="75F11EF1" w:rsidR="00252CE1" w:rsidRPr="00422B5B" w:rsidRDefault="00252CE1" w:rsidP="00AA1E6A">
            <w:pPr>
              <w:pStyle w:val="TableHeader"/>
            </w:pPr>
            <w:r w:rsidRPr="00422B5B">
              <w:t>Generic Name</w:t>
            </w:r>
          </w:p>
        </w:tc>
      </w:tr>
      <w:tr w:rsidR="00585FFF" w:rsidRPr="00422B5B" w14:paraId="2AD5C02D" w14:textId="77777777" w:rsidTr="00525686">
        <w:trPr>
          <w:cantSplit/>
        </w:trPr>
        <w:tc>
          <w:tcPr>
            <w:tcW w:w="5265" w:type="dxa"/>
          </w:tcPr>
          <w:p w14:paraId="2D8FA8E3" w14:textId="5D592209" w:rsidR="00585FFF" w:rsidRPr="00422B5B" w:rsidRDefault="00655560" w:rsidP="00BC4364">
            <w:pPr>
              <w:pStyle w:val="TableData"/>
            </w:pPr>
            <w:proofErr w:type="spellStart"/>
            <w:r w:rsidRPr="00422B5B">
              <w:t>Inrebic</w:t>
            </w:r>
            <w:proofErr w:type="spellEnd"/>
          </w:p>
        </w:tc>
        <w:tc>
          <w:tcPr>
            <w:tcW w:w="5595" w:type="dxa"/>
          </w:tcPr>
          <w:p w14:paraId="7E26A004" w14:textId="052F4BD8" w:rsidR="00585FFF" w:rsidRPr="00422B5B" w:rsidRDefault="00655560" w:rsidP="00BC4364">
            <w:pPr>
              <w:pStyle w:val="TableData"/>
            </w:pPr>
            <w:proofErr w:type="spellStart"/>
            <w:r w:rsidRPr="00422B5B">
              <w:t>fedratinib</w:t>
            </w:r>
            <w:proofErr w:type="spellEnd"/>
          </w:p>
        </w:tc>
      </w:tr>
    </w:tbl>
    <w:bookmarkEnd w:id="0"/>
    <w:p w14:paraId="14CE6108" w14:textId="479BD04A" w:rsidR="00FC1AAD" w:rsidRPr="00422B5B" w:rsidRDefault="00ED052F" w:rsidP="00ED052F">
      <w:pPr>
        <w:pStyle w:val="Heading2"/>
      </w:pPr>
      <w:r w:rsidRPr="00422B5B">
        <w:t>Indications</w:t>
      </w:r>
    </w:p>
    <w:p w14:paraId="063C8AAB" w14:textId="7719A707" w:rsidR="00655560" w:rsidRPr="00422B5B" w:rsidRDefault="00655560" w:rsidP="00655560">
      <w:pPr>
        <w:pStyle w:val="BodyText"/>
      </w:pPr>
      <w:r w:rsidRPr="00422B5B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47B10C0F" w:rsidR="00ED052F" w:rsidRPr="00422B5B" w:rsidRDefault="00ED052F" w:rsidP="00ED052F">
      <w:pPr>
        <w:pStyle w:val="Heading3"/>
        <w:keepNext w:val="0"/>
      </w:pPr>
      <w:r w:rsidRPr="00422B5B">
        <w:t>FDA-approved Indications</w:t>
      </w:r>
      <w:r w:rsidR="00FC4376" w:rsidRPr="00422B5B">
        <w:rPr>
          <w:vertAlign w:val="superscript"/>
        </w:rPr>
        <w:t>1</w:t>
      </w:r>
    </w:p>
    <w:p w14:paraId="3058A5F8" w14:textId="136B01BC" w:rsidR="005C778C" w:rsidRPr="00422B5B" w:rsidRDefault="00655560" w:rsidP="00655560">
      <w:pPr>
        <w:pStyle w:val="BodyText"/>
        <w:rPr>
          <w:bCs/>
        </w:rPr>
      </w:pPr>
      <w:proofErr w:type="spellStart"/>
      <w:r w:rsidRPr="00422B5B">
        <w:t>Inrebic</w:t>
      </w:r>
      <w:proofErr w:type="spellEnd"/>
      <w:r w:rsidRPr="00422B5B">
        <w:t xml:space="preserve"> is indicated for the treatment of adult patients with intermediate-2 or high-risk primary or secondary (post-polycythemia vera or post-essential thrombocythemia) myelofibrosis (MF).</w:t>
      </w:r>
    </w:p>
    <w:p w14:paraId="0B5EC236" w14:textId="1AE167F4" w:rsidR="0044763A" w:rsidRPr="00422B5B" w:rsidRDefault="009F2EF1" w:rsidP="0044763A">
      <w:pPr>
        <w:pStyle w:val="Heading3"/>
      </w:pPr>
      <w:r w:rsidRPr="00422B5B">
        <w:t>Compendial Uses</w:t>
      </w:r>
      <w:r w:rsidR="00FC4376" w:rsidRPr="00422B5B">
        <w:rPr>
          <w:vertAlign w:val="superscript"/>
        </w:rPr>
        <w:t>2</w:t>
      </w:r>
    </w:p>
    <w:p w14:paraId="66CCDBBD" w14:textId="77777777" w:rsidR="00655560" w:rsidRPr="00422B5B" w:rsidRDefault="00655560" w:rsidP="00384B37">
      <w:pPr>
        <w:pStyle w:val="ListParagraph"/>
        <w:numPr>
          <w:ilvl w:val="0"/>
          <w:numId w:val="36"/>
        </w:numPr>
        <w:ind w:left="720"/>
        <w:contextualSpacing w:val="0"/>
      </w:pPr>
      <w:r w:rsidRPr="00422B5B">
        <w:t>Treatment for myeloid/lymphoid neoplasms with eosinophilia and JAK2 rearrangement in chronic phase</w:t>
      </w:r>
    </w:p>
    <w:p w14:paraId="5C16CAA2" w14:textId="77777777" w:rsidR="00655560" w:rsidRPr="00422B5B" w:rsidRDefault="00655560" w:rsidP="00384B37">
      <w:pPr>
        <w:pStyle w:val="ListParagraph"/>
        <w:numPr>
          <w:ilvl w:val="0"/>
          <w:numId w:val="36"/>
        </w:numPr>
        <w:ind w:left="720"/>
        <w:contextualSpacing w:val="0"/>
      </w:pPr>
      <w:r w:rsidRPr="00422B5B">
        <w:t>Treatment for myeloid, lymphoid, or mixed lineage neoplasms with eosinophilia and JAK2 rearrangement in blast phase</w:t>
      </w:r>
    </w:p>
    <w:p w14:paraId="7168950C" w14:textId="77777777" w:rsidR="00655560" w:rsidRPr="00422B5B" w:rsidRDefault="00655560" w:rsidP="00384B37">
      <w:pPr>
        <w:pStyle w:val="ListParagraph"/>
        <w:numPr>
          <w:ilvl w:val="0"/>
          <w:numId w:val="36"/>
        </w:numPr>
        <w:ind w:left="720"/>
        <w:contextualSpacing w:val="0"/>
      </w:pPr>
      <w:r w:rsidRPr="00422B5B">
        <w:t>Treatment for myeloproliferative neoplasms in accelerated phase or blast phase</w:t>
      </w:r>
    </w:p>
    <w:p w14:paraId="6F00EF62" w14:textId="290F4BFC" w:rsidR="00655560" w:rsidRPr="00422B5B" w:rsidRDefault="00655560" w:rsidP="00384B37">
      <w:pPr>
        <w:pStyle w:val="ListParagraph"/>
        <w:numPr>
          <w:ilvl w:val="0"/>
          <w:numId w:val="36"/>
        </w:numPr>
        <w:spacing w:after="120"/>
        <w:ind w:left="720"/>
        <w:contextualSpacing w:val="0"/>
      </w:pPr>
      <w:r w:rsidRPr="00422B5B">
        <w:t>Treatment for splenomegaly and other disease-related symptoms of MF-associated anemia</w:t>
      </w:r>
    </w:p>
    <w:p w14:paraId="7459D6DA" w14:textId="215401D7" w:rsidR="00401820" w:rsidRPr="00422B5B" w:rsidRDefault="009A5649" w:rsidP="00AA1E6A">
      <w:pPr>
        <w:pStyle w:val="BodyText"/>
        <w:rPr>
          <w:rFonts w:eastAsia="Arial"/>
        </w:rPr>
      </w:pPr>
      <w:r w:rsidRPr="00422B5B">
        <w:t xml:space="preserve">All other indications are considered experimental/investigational and </w:t>
      </w:r>
      <w:r w:rsidRPr="00422B5B">
        <w:rPr>
          <w:rFonts w:eastAsia="Arial"/>
        </w:rPr>
        <w:t>not medically necessary.</w:t>
      </w:r>
    </w:p>
    <w:p w14:paraId="36381B6D" w14:textId="2399B39E" w:rsidR="000D2496" w:rsidRPr="00422B5B" w:rsidRDefault="000D2496" w:rsidP="000D2496">
      <w:pPr>
        <w:pStyle w:val="Heading2"/>
      </w:pPr>
      <w:r w:rsidRPr="00422B5B">
        <w:lastRenderedPageBreak/>
        <w:t>Documentation</w:t>
      </w:r>
    </w:p>
    <w:p w14:paraId="5D4CD6F7" w14:textId="2ED756BE" w:rsidR="00021C51" w:rsidRPr="00422B5B" w:rsidRDefault="00655560" w:rsidP="0012768E">
      <w:pPr>
        <w:pStyle w:val="BodyText"/>
      </w:pPr>
      <w:r w:rsidRPr="00422B5B">
        <w:t>Submission of the following information is necessary to initiate the prior authorization review: Testing or analysis confirming JAK2 rearrangement (if applicable).</w:t>
      </w:r>
    </w:p>
    <w:p w14:paraId="7DDAC4FC" w14:textId="7F1EB588" w:rsidR="00016A2E" w:rsidRPr="00422B5B" w:rsidRDefault="00FC4376">
      <w:pPr>
        <w:pStyle w:val="Heading2"/>
      </w:pPr>
      <w:r w:rsidRPr="00422B5B">
        <w:t xml:space="preserve">Coverage </w:t>
      </w:r>
      <w:r w:rsidR="00655560" w:rsidRPr="00422B5B">
        <w:t>Criteria</w:t>
      </w:r>
    </w:p>
    <w:p w14:paraId="3E22A4E1" w14:textId="77777777" w:rsidR="00655560" w:rsidRPr="00422B5B" w:rsidRDefault="00655560" w:rsidP="00FC4376">
      <w:pPr>
        <w:pStyle w:val="Heading3"/>
      </w:pPr>
      <w:r w:rsidRPr="00422B5B">
        <w:t>Myelofibrosis/Myeloproliferative Neoplasms</w:t>
      </w:r>
      <w:r w:rsidRPr="00422B5B">
        <w:rPr>
          <w:vertAlign w:val="superscript"/>
        </w:rPr>
        <w:t>1,2</w:t>
      </w:r>
    </w:p>
    <w:p w14:paraId="7021FA43" w14:textId="04F91A4E" w:rsidR="00655560" w:rsidRPr="00422B5B" w:rsidRDefault="00655560" w:rsidP="00D734E2">
      <w:pPr>
        <w:pStyle w:val="TableDataUnpadded"/>
        <w:spacing w:after="120"/>
      </w:pPr>
      <w:r w:rsidRPr="00422B5B">
        <w:t>Authorization of 12 months may be granted for the treatment of intermediate-2 or high-risk primary or secondary (post-polycythemia vera or post-essential thrombocythemia) myelofibrosis (MF), splenomegaly and other disease-related symptoms of MF-associated anemia (e.g., fatigue, weakness, shortness of breath, pale skin), accelerated phase or blast phase myeloproliferative neoplasms.</w:t>
      </w:r>
    </w:p>
    <w:p w14:paraId="5EAA3010" w14:textId="77777777" w:rsidR="00655560" w:rsidRPr="00422B5B" w:rsidRDefault="00655560" w:rsidP="00FC4376">
      <w:pPr>
        <w:pStyle w:val="Heading3"/>
      </w:pPr>
      <w:r w:rsidRPr="00422B5B">
        <w:t>Myeloid/Lymphoid Neoplasms</w:t>
      </w:r>
      <w:r w:rsidRPr="00422B5B">
        <w:rPr>
          <w:vertAlign w:val="superscript"/>
        </w:rPr>
        <w:t>2</w:t>
      </w:r>
    </w:p>
    <w:p w14:paraId="30708AA0" w14:textId="75C6D3AA" w:rsidR="00165258" w:rsidRPr="00422B5B" w:rsidRDefault="00655560" w:rsidP="00D734E2">
      <w:pPr>
        <w:pStyle w:val="TableDataUnpadded"/>
        <w:spacing w:after="120"/>
      </w:pPr>
      <w:r w:rsidRPr="00422B5B">
        <w:t>Authorization of 12 months may be granted for the treatment of myeloid and/or lymphoid neoplasms with eosinophilia and JAK2 rearrangement in the chronic phase or blast phase.</w:t>
      </w:r>
    </w:p>
    <w:p w14:paraId="3A643EC3" w14:textId="107D853B" w:rsidR="00A501AC" w:rsidRPr="00422B5B" w:rsidRDefault="00A501AC" w:rsidP="00A501AC">
      <w:pPr>
        <w:pStyle w:val="Heading2"/>
      </w:pPr>
      <w:r w:rsidRPr="00422B5B">
        <w:t>Continuation of Therapy</w:t>
      </w:r>
    </w:p>
    <w:p w14:paraId="1EC2A38D" w14:textId="77777777" w:rsidR="00655560" w:rsidRPr="00422B5B" w:rsidRDefault="00655560" w:rsidP="00FC4376">
      <w:pPr>
        <w:pStyle w:val="Heading3"/>
      </w:pPr>
      <w:r w:rsidRPr="00422B5B">
        <w:t>Myelofibrosis/Myeloproliferative Neoplasms</w:t>
      </w:r>
    </w:p>
    <w:p w14:paraId="55E08A30" w14:textId="1627955C" w:rsidR="00655560" w:rsidRPr="00422B5B" w:rsidRDefault="00655560" w:rsidP="00D734E2">
      <w:pPr>
        <w:pStyle w:val="TableDataUnpadded"/>
        <w:spacing w:after="120"/>
      </w:pPr>
      <w:r w:rsidRPr="00422B5B">
        <w:t>Authorization of 12 months may be granted for continued treatment in members requesting reauthorization when there is no evidence of unacceptable toxicity and there has been an improvement in symptoms.</w:t>
      </w:r>
    </w:p>
    <w:p w14:paraId="225502D4" w14:textId="0799B834" w:rsidR="00655560" w:rsidRPr="00422B5B" w:rsidRDefault="00655560" w:rsidP="009A2870">
      <w:pPr>
        <w:pStyle w:val="Heading3"/>
        <w:spacing w:before="120"/>
      </w:pPr>
      <w:r w:rsidRPr="00422B5B">
        <w:t>Myeloid/Lymphoid Neoplasms</w:t>
      </w:r>
    </w:p>
    <w:p w14:paraId="6DB718B3" w14:textId="49AD34FA" w:rsidR="00BE41E6" w:rsidRPr="00422B5B" w:rsidRDefault="00655560" w:rsidP="009A2870">
      <w:pPr>
        <w:pStyle w:val="TableDataUnpadded"/>
        <w:spacing w:before="120" w:after="120"/>
        <w:rPr>
          <w:sz w:val="20"/>
        </w:rPr>
      </w:pPr>
      <w:r w:rsidRPr="00422B5B">
        <w:rPr>
          <w:rStyle w:val="TableDataUnpaddedChar"/>
        </w:rPr>
        <w:t xml:space="preserve">Authorization of 12 months may be granted for continued treatment in members requesting </w:t>
      </w:r>
      <w:r w:rsidRPr="00422B5B">
        <w:t>reauthorization</w:t>
      </w:r>
      <w:r w:rsidRPr="00422B5B">
        <w:rPr>
          <w:rStyle w:val="TableDataUnpaddedChar"/>
        </w:rPr>
        <w:t xml:space="preserve"> when there is no evidence of unacceptable toxicity or disease progression while on the current regimen</w:t>
      </w:r>
      <w:r w:rsidRPr="00422B5B">
        <w:rPr>
          <w:sz w:val="20"/>
        </w:rPr>
        <w:t>.</w:t>
      </w:r>
    </w:p>
    <w:p w14:paraId="0A275F8B" w14:textId="0AC17D2B" w:rsidR="000E0438" w:rsidRPr="00422B5B" w:rsidRDefault="000E0438" w:rsidP="00C97E5A">
      <w:pPr>
        <w:pStyle w:val="Heading2"/>
        <w:keepNext w:val="0"/>
      </w:pPr>
      <w:r w:rsidRPr="00422B5B">
        <w:t>References</w:t>
      </w:r>
    </w:p>
    <w:p w14:paraId="6B01F28A" w14:textId="2A727C98" w:rsidR="00655560" w:rsidRPr="00422B5B" w:rsidRDefault="00655560" w:rsidP="00C97E5A">
      <w:pPr>
        <w:pStyle w:val="ReferenceOrdered"/>
        <w:keepLines/>
      </w:pPr>
      <w:proofErr w:type="spellStart"/>
      <w:r w:rsidRPr="00422B5B">
        <w:t>Inrebic</w:t>
      </w:r>
      <w:proofErr w:type="spellEnd"/>
      <w:r w:rsidRPr="00422B5B">
        <w:t xml:space="preserve"> [package insert]. Princeton, NJ: Bristol-Myers Squibb Company; </w:t>
      </w:r>
      <w:r w:rsidR="0086670C">
        <w:t>July</w:t>
      </w:r>
      <w:r w:rsidRPr="00422B5B">
        <w:t xml:space="preserve"> 202</w:t>
      </w:r>
      <w:r w:rsidR="0086670C">
        <w:t>4</w:t>
      </w:r>
      <w:r w:rsidRPr="00422B5B">
        <w:t>.</w:t>
      </w:r>
    </w:p>
    <w:p w14:paraId="62AEB04C" w14:textId="307E5233" w:rsidR="000E0438" w:rsidRPr="00422B5B" w:rsidRDefault="00655560" w:rsidP="00C97E5A">
      <w:pPr>
        <w:pStyle w:val="ReferenceOrdered"/>
        <w:keepLines/>
      </w:pPr>
      <w:r w:rsidRPr="00422B5B">
        <w:t>The NCCN Drugs &amp; Biologics Compendium</w:t>
      </w:r>
      <w:r w:rsidRPr="00422B5B">
        <w:rPr>
          <w:vertAlign w:val="superscript"/>
        </w:rPr>
        <w:t>®</w:t>
      </w:r>
      <w:r w:rsidRPr="00422B5B">
        <w:t xml:space="preserve"> © 202</w:t>
      </w:r>
      <w:r w:rsidR="00E71C52">
        <w:t>5</w:t>
      </w:r>
      <w:r w:rsidRPr="00422B5B">
        <w:t xml:space="preserve"> National Comprehensive Cancer Network, Inc. Available at: http://www.nccn.org. </w:t>
      </w:r>
      <w:r w:rsidRPr="00422B5B">
        <w:rPr>
          <w:color w:val="000000"/>
        </w:rPr>
        <w:t xml:space="preserve">Accessed January </w:t>
      </w:r>
      <w:r w:rsidR="00E71C52">
        <w:rPr>
          <w:color w:val="000000"/>
        </w:rPr>
        <w:t>7</w:t>
      </w:r>
      <w:r w:rsidRPr="00422B5B">
        <w:rPr>
          <w:color w:val="000000"/>
        </w:rPr>
        <w:t>, 202</w:t>
      </w:r>
      <w:r w:rsidR="00E71C52">
        <w:rPr>
          <w:color w:val="000000"/>
        </w:rPr>
        <w:t>5</w:t>
      </w:r>
      <w:r w:rsidR="000E0438" w:rsidRPr="00422B5B">
        <w:t>.</w:t>
      </w:r>
    </w:p>
    <w:sectPr w:rsidR="000E0438" w:rsidRPr="00422B5B" w:rsidSect="002A0726">
      <w:headerReference w:type="default" r:id="rId12"/>
      <w:footerReference w:type="default" r:id="rId13"/>
      <w:footerReference w:type="first" r:id="rId14"/>
      <w:type w:val="continuous"/>
      <w:pgSz w:w="12240" w:h="15840" w:code="1"/>
      <w:pgMar w:top="628" w:right="720" w:bottom="720" w:left="720" w:header="270" w:footer="246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42CC7" w14:textId="77777777" w:rsidR="004016B8" w:rsidRDefault="004016B8">
      <w:r>
        <w:separator/>
      </w:r>
    </w:p>
  </w:endnote>
  <w:endnote w:type="continuationSeparator" w:id="0">
    <w:p w14:paraId="0BB7CFC6" w14:textId="77777777" w:rsidR="004016B8" w:rsidRDefault="004016B8">
      <w:r>
        <w:continuationSeparator/>
      </w:r>
    </w:p>
  </w:endnote>
  <w:endnote w:type="continuationNotice" w:id="1">
    <w:p w14:paraId="19FF05A1" w14:textId="77777777" w:rsidR="004016B8" w:rsidRDefault="004016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altName w:val="Calibri"/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18B65" w14:textId="422E9A8D" w:rsidR="0071011D" w:rsidRPr="00EC47B6" w:rsidRDefault="0071011D" w:rsidP="0071011D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4D6ECE" w:rsidRPr="004D6ECE">
      <w:rPr>
        <w:rFonts w:cs="Arial"/>
        <w:noProof/>
        <w:sz w:val="16"/>
        <w:szCs w:val="16"/>
      </w:rPr>
      <w:t>Inrebic</w:t>
    </w:r>
    <w:r w:rsidR="004D6ECE">
      <w:rPr>
        <w:rFonts w:cs="Arial"/>
        <w:noProof/>
        <w:snapToGrid w:val="0"/>
        <w:color w:val="000000"/>
        <w:sz w:val="16"/>
        <w:szCs w:val="16"/>
      </w:rPr>
      <w:t xml:space="preserve"> SGM 3161-A</w:t>
    </w:r>
    <w:r w:rsidR="004D6ECE" w:rsidRPr="004D6ECE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711C84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0B5D5D43" w14:textId="77777777" w:rsidR="0071011D" w:rsidRPr="00EC47B6" w:rsidRDefault="0071011D" w:rsidP="0071011D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33DCD5A1" w14:textId="0D1F9123" w:rsidR="0071011D" w:rsidRPr="00C97E5A" w:rsidRDefault="0071011D" w:rsidP="002A0726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1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44932" w14:textId="380A0E35" w:rsidR="0071011D" w:rsidRPr="00EC47B6" w:rsidRDefault="0071011D" w:rsidP="0071011D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4D6ECE" w:rsidRPr="004D6ECE">
      <w:rPr>
        <w:rFonts w:cs="Arial"/>
        <w:noProof/>
        <w:sz w:val="16"/>
        <w:szCs w:val="16"/>
      </w:rPr>
      <w:t>Inrebic</w:t>
    </w:r>
    <w:r w:rsidR="004D6ECE">
      <w:rPr>
        <w:rFonts w:cs="Arial"/>
        <w:noProof/>
        <w:snapToGrid w:val="0"/>
        <w:color w:val="000000"/>
        <w:sz w:val="16"/>
        <w:szCs w:val="16"/>
      </w:rPr>
      <w:t xml:space="preserve"> SGM 3161-A</w:t>
    </w:r>
    <w:r w:rsidR="004D6ECE" w:rsidRPr="004D6ECE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711C84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1B58EF10" w14:textId="77777777" w:rsidR="0071011D" w:rsidRPr="00EC47B6" w:rsidRDefault="0071011D" w:rsidP="0071011D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1FCCE8F9" w14:textId="12DB885F" w:rsidR="00D734E2" w:rsidRPr="00694D41" w:rsidRDefault="0071011D" w:rsidP="002A0726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F487C9" w14:textId="77777777" w:rsidR="004016B8" w:rsidRDefault="004016B8">
      <w:r>
        <w:separator/>
      </w:r>
    </w:p>
  </w:footnote>
  <w:footnote w:type="continuationSeparator" w:id="0">
    <w:p w14:paraId="2E830B31" w14:textId="77777777" w:rsidR="004016B8" w:rsidRDefault="004016B8">
      <w:r>
        <w:continuationSeparator/>
      </w:r>
    </w:p>
  </w:footnote>
  <w:footnote w:type="continuationNotice" w:id="1">
    <w:p w14:paraId="69A7168A" w14:textId="77777777" w:rsidR="004016B8" w:rsidRDefault="004016B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71011D" w:rsidRPr="00121DAD" w14:paraId="571B1841" w14:textId="77777777" w:rsidTr="004B5BA4">
      <w:trPr>
        <w:trHeight w:val="144"/>
        <w:jc w:val="right"/>
      </w:trPr>
      <w:tc>
        <w:tcPr>
          <w:tcW w:w="1854" w:type="dxa"/>
          <w:hideMark/>
        </w:tcPr>
        <w:p w14:paraId="7B6B1BEC" w14:textId="77777777" w:rsidR="0071011D" w:rsidRPr="00FC4376" w:rsidRDefault="0071011D" w:rsidP="0071011D">
          <w:pPr>
            <w:pStyle w:val="Header"/>
            <w:rPr>
              <w:rFonts w:cs="Arial"/>
              <w:sz w:val="16"/>
              <w:szCs w:val="16"/>
            </w:rPr>
          </w:pPr>
          <w:r w:rsidRPr="00FC4376">
            <w:rPr>
              <w:rFonts w:cs="Arial"/>
              <w:sz w:val="16"/>
              <w:szCs w:val="16"/>
            </w:rPr>
            <w:t>Reference number(s)</w:t>
          </w:r>
        </w:p>
      </w:tc>
    </w:tr>
    <w:tr w:rsidR="0071011D" w:rsidRPr="00121DAD" w14:paraId="1D80BB5D" w14:textId="77777777" w:rsidTr="004B5BA4">
      <w:trPr>
        <w:trHeight w:val="378"/>
        <w:jc w:val="right"/>
      </w:trPr>
      <w:tc>
        <w:tcPr>
          <w:tcW w:w="1854" w:type="dxa"/>
          <w:hideMark/>
        </w:tcPr>
        <w:p w14:paraId="457E68A1" w14:textId="77777777" w:rsidR="0071011D" w:rsidRPr="00FC4376" w:rsidRDefault="0071011D" w:rsidP="0071011D">
          <w:pPr>
            <w:pStyle w:val="BodyText"/>
            <w:rPr>
              <w:color w:val="000000" w:themeColor="text1"/>
              <w:sz w:val="16"/>
              <w:szCs w:val="16"/>
            </w:rPr>
          </w:pPr>
          <w:r w:rsidRPr="00FC4376">
            <w:rPr>
              <w:color w:val="000000" w:themeColor="text1"/>
              <w:sz w:val="16"/>
              <w:szCs w:val="16"/>
            </w:rPr>
            <w:t>3161-A</w:t>
          </w:r>
        </w:p>
      </w:tc>
    </w:tr>
  </w:tbl>
  <w:p w14:paraId="717606C5" w14:textId="77777777" w:rsidR="0071011D" w:rsidRDefault="0071011D" w:rsidP="007101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7E75C0"/>
    <w:multiLevelType w:val="hybridMultilevel"/>
    <w:tmpl w:val="C0645530"/>
    <w:lvl w:ilvl="0" w:tplc="640EE39E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1816216"/>
    <w:multiLevelType w:val="hybridMultilevel"/>
    <w:tmpl w:val="C6CAC752"/>
    <w:lvl w:ilvl="0" w:tplc="3DE287B6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537F84"/>
    <w:multiLevelType w:val="hybridMultilevel"/>
    <w:tmpl w:val="911A33DE"/>
    <w:lvl w:ilvl="0" w:tplc="33B4F5D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7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15234B"/>
    <w:multiLevelType w:val="hybridMultilevel"/>
    <w:tmpl w:val="76C00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2D7363"/>
    <w:multiLevelType w:val="hybridMultilevel"/>
    <w:tmpl w:val="E60AD504"/>
    <w:lvl w:ilvl="0" w:tplc="F1CCD0D4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5C280E"/>
    <w:multiLevelType w:val="hybridMultilevel"/>
    <w:tmpl w:val="408A3C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57A7DF4"/>
    <w:multiLevelType w:val="hybridMultilevel"/>
    <w:tmpl w:val="F4A273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8D7A4A"/>
    <w:multiLevelType w:val="hybridMultilevel"/>
    <w:tmpl w:val="8DF42B34"/>
    <w:lvl w:ilvl="0" w:tplc="2528FB84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421C81"/>
    <w:multiLevelType w:val="hybridMultilevel"/>
    <w:tmpl w:val="F7727FF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4"/>
  </w:num>
  <w:num w:numId="2" w16cid:durableId="606935877">
    <w:abstractNumId w:val="29"/>
  </w:num>
  <w:num w:numId="3" w16cid:durableId="611589570">
    <w:abstractNumId w:val="22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5"/>
  </w:num>
  <w:num w:numId="15" w16cid:durableId="616722934">
    <w:abstractNumId w:val="12"/>
  </w:num>
  <w:num w:numId="16" w16cid:durableId="898320195">
    <w:abstractNumId w:val="21"/>
  </w:num>
  <w:num w:numId="17" w16cid:durableId="2128498676">
    <w:abstractNumId w:val="32"/>
  </w:num>
  <w:num w:numId="18" w16cid:durableId="299724409">
    <w:abstractNumId w:val="25"/>
  </w:num>
  <w:num w:numId="19" w16cid:durableId="214585573">
    <w:abstractNumId w:val="16"/>
  </w:num>
  <w:num w:numId="20" w16cid:durableId="1289816170">
    <w:abstractNumId w:val="17"/>
  </w:num>
  <w:num w:numId="21" w16cid:durableId="1066490929">
    <w:abstractNumId w:val="33"/>
  </w:num>
  <w:num w:numId="22" w16cid:durableId="1472481103">
    <w:abstractNumId w:val="28"/>
  </w:num>
  <w:num w:numId="23" w16cid:durableId="1997420403">
    <w:abstractNumId w:val="31"/>
  </w:num>
  <w:num w:numId="24" w16cid:durableId="33312838">
    <w:abstractNumId w:val="26"/>
  </w:num>
  <w:num w:numId="25" w16cid:durableId="507404939">
    <w:abstractNumId w:val="19"/>
  </w:num>
  <w:num w:numId="26" w16cid:durableId="205993467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08466668">
    <w:abstractNumId w:val="18"/>
  </w:num>
  <w:num w:numId="28" w16cid:durableId="80238439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72732314">
    <w:abstractNumId w:val="10"/>
  </w:num>
  <w:num w:numId="30" w16cid:durableId="1783457635">
    <w:abstractNumId w:val="23"/>
  </w:num>
  <w:num w:numId="31" w16cid:durableId="1403524543">
    <w:abstractNumId w:val="24"/>
  </w:num>
  <w:num w:numId="32" w16cid:durableId="199787949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35549925">
    <w:abstractNumId w:val="20"/>
  </w:num>
  <w:num w:numId="34" w16cid:durableId="895512589">
    <w:abstractNumId w:val="30"/>
  </w:num>
  <w:num w:numId="35" w16cid:durableId="7125087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755247556">
    <w:abstractNumId w:val="13"/>
  </w:num>
  <w:num w:numId="37" w16cid:durableId="1276987604">
    <w:abstractNumId w:val="3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085"/>
    <w:rsid w:val="0002111C"/>
    <w:rsid w:val="00021A0A"/>
    <w:rsid w:val="00021C51"/>
    <w:rsid w:val="00021F62"/>
    <w:rsid w:val="00022D21"/>
    <w:rsid w:val="0002338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86AEA"/>
    <w:rsid w:val="00090142"/>
    <w:rsid w:val="00090C1B"/>
    <w:rsid w:val="000913DE"/>
    <w:rsid w:val="00091E1D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DAD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726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0DB6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B37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C76EF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5DFF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6B8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2B5B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D6EC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686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560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4D41"/>
    <w:rsid w:val="00696693"/>
    <w:rsid w:val="00697304"/>
    <w:rsid w:val="006A169C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337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3D22"/>
    <w:rsid w:val="007061F8"/>
    <w:rsid w:val="00706FB2"/>
    <w:rsid w:val="00707218"/>
    <w:rsid w:val="007074F5"/>
    <w:rsid w:val="0071011D"/>
    <w:rsid w:val="00711A79"/>
    <w:rsid w:val="00711C84"/>
    <w:rsid w:val="007125BE"/>
    <w:rsid w:val="0071294F"/>
    <w:rsid w:val="00712EA4"/>
    <w:rsid w:val="00712F85"/>
    <w:rsid w:val="007130D0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1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70C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9F4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C81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0C9F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296E"/>
    <w:rsid w:val="0094298C"/>
    <w:rsid w:val="0094553A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287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C07"/>
    <w:rsid w:val="009C4E1E"/>
    <w:rsid w:val="009C595B"/>
    <w:rsid w:val="009C6673"/>
    <w:rsid w:val="009C6CB5"/>
    <w:rsid w:val="009C6CFE"/>
    <w:rsid w:val="009C7D3E"/>
    <w:rsid w:val="009D0B0C"/>
    <w:rsid w:val="009D0C37"/>
    <w:rsid w:val="009D2011"/>
    <w:rsid w:val="009D2D63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20EB"/>
    <w:rsid w:val="009E489A"/>
    <w:rsid w:val="009E5212"/>
    <w:rsid w:val="009E6C19"/>
    <w:rsid w:val="009E6E2F"/>
    <w:rsid w:val="009F0845"/>
    <w:rsid w:val="009F1EDE"/>
    <w:rsid w:val="009F2CEE"/>
    <w:rsid w:val="009F2EF1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09BC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36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0F41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81E"/>
    <w:rsid w:val="00BE1A32"/>
    <w:rsid w:val="00BE23F2"/>
    <w:rsid w:val="00BE2659"/>
    <w:rsid w:val="00BE2E87"/>
    <w:rsid w:val="00BE38A5"/>
    <w:rsid w:val="00BE3B53"/>
    <w:rsid w:val="00BE3BC7"/>
    <w:rsid w:val="00BE41E6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12D8"/>
    <w:rsid w:val="00C72424"/>
    <w:rsid w:val="00C73E8B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97E5A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53A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34E2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65D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C52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FDF"/>
    <w:rsid w:val="00EC44FD"/>
    <w:rsid w:val="00EC45A5"/>
    <w:rsid w:val="00EC47B6"/>
    <w:rsid w:val="00EC582A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6FBD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35F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6B8F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4376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FB6B8F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FB6B8F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6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7757c461-07c7-44e1-99a5-77c6cc8be592"/>
    <ds:schemaRef ds:uri="eb403b6b-7b96-4fe7-afcc-b3d44ddfb7d8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A482C898-5CCF-48B9-BC46-48B86CCD8FFD}"/>
</file>

<file path=customXml/itemProps3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369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Inrebic SGM 3161-A</vt:lpstr>
    </vt:vector>
  </TitlesOfParts>
  <Company>PCS Health Systems</Company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Inrebic SGM 3161-A</dc:title>
  <dc:subject/>
  <dc:creator>CVS Caremark</dc:creator>
  <cp:keywords/>
  <cp:lastModifiedBy>Huerta, Linda M</cp:lastModifiedBy>
  <cp:revision>4</cp:revision>
  <cp:lastPrinted>2024-04-09T06:16:00Z</cp:lastPrinted>
  <dcterms:created xsi:type="dcterms:W3CDTF">2025-04-22T19:26:00Z</dcterms:created>
  <dcterms:modified xsi:type="dcterms:W3CDTF">2025-04-22T19:29:00Z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537400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